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03BC6" w14:textId="77777777" w:rsidR="009300B1" w:rsidRDefault="009300B1" w:rsidP="009300B1">
      <w:pPr>
        <w:spacing w:before="240"/>
        <w:jc w:val="center"/>
        <w:rPr>
          <w:rFonts w:ascii="Palatino Linotype" w:hAnsi="Palatino Linotype"/>
          <w:b/>
          <w:i/>
          <w:smallCaps/>
          <w:sz w:val="48"/>
          <w:szCs w:val="48"/>
        </w:rPr>
      </w:pPr>
      <w:r w:rsidRPr="00270013">
        <w:rPr>
          <w:rFonts w:ascii="Palatino Linotype" w:hAnsi="Palatino Linotype" w:cs="Arial"/>
          <w:i/>
          <w:smallCaps/>
          <w:color w:val="C00000"/>
          <w:sz w:val="56"/>
          <w:szCs w:val="56"/>
        </w:rPr>
        <w:t>§</w:t>
      </w:r>
      <w:r w:rsidRPr="00270013">
        <w:rPr>
          <w:rFonts w:ascii="Palatino Linotype" w:hAnsi="Palatino Linotype"/>
          <w:b/>
          <w:i/>
          <w:smallCaps/>
          <w:kern w:val="48"/>
          <w:sz w:val="48"/>
          <w:szCs w:val="48"/>
        </w:rPr>
        <w:t>Payne</w:t>
      </w:r>
    </w:p>
    <w:p w14:paraId="3C920780" w14:textId="77777777" w:rsidR="00FF36CB" w:rsidRPr="00D971C6" w:rsidRDefault="009051F3" w:rsidP="009E2C44">
      <w:pPr>
        <w:jc w:val="center"/>
        <w:rPr>
          <w:rFonts w:ascii="Palatino Linotype" w:hAnsi="Palatino Linotype"/>
          <w:b/>
          <w:i/>
          <w:smallCaps/>
          <w:color w:val="C00000"/>
          <w:sz w:val="96"/>
          <w:szCs w:val="96"/>
        </w:rPr>
      </w:pPr>
      <w:r>
        <w:rPr>
          <w:rFonts w:ascii="Palatino Linotype" w:hAnsi="Palatino Linotype"/>
          <w:b/>
          <w:i/>
          <w:smallCaps/>
          <w:sz w:val="18"/>
          <w:szCs w:val="18"/>
        </w:rPr>
        <w:t xml:space="preserve">    </w:t>
      </w:r>
      <w:r w:rsidR="00887A9D">
        <w:rPr>
          <w:rFonts w:ascii="Palatino Linotype" w:hAnsi="Palatino Linotype"/>
          <w:b/>
          <w:i/>
          <w:smallCaps/>
          <w:sz w:val="18"/>
          <w:szCs w:val="18"/>
        </w:rPr>
        <w:t xml:space="preserve"> </w:t>
      </w:r>
      <w:r w:rsidR="00D971C6" w:rsidRPr="006071AC">
        <w:rPr>
          <w:rFonts w:ascii="Palatino Linotype" w:hAnsi="Palatino Linotype"/>
          <w:b/>
          <w:i/>
          <w:smallCaps/>
          <w:sz w:val="18"/>
          <w:szCs w:val="18"/>
        </w:rPr>
        <w:t>Payne</w:t>
      </w:r>
      <w:r w:rsidR="00D971C6" w:rsidRPr="006071AC">
        <w:rPr>
          <w:rFonts w:ascii="Palatino Linotype" w:hAnsi="Palatino Linotype"/>
          <w:b/>
          <w:i/>
          <w:sz w:val="18"/>
          <w:szCs w:val="18"/>
        </w:rPr>
        <w:t xml:space="preserve"> </w:t>
      </w:r>
      <w:r w:rsidR="00D971C6" w:rsidRPr="006071AC">
        <w:rPr>
          <w:rFonts w:ascii="Palatino Linotype" w:hAnsi="Palatino Linotype"/>
          <w:b/>
          <w:i/>
          <w:smallCaps/>
          <w:sz w:val="18"/>
          <w:szCs w:val="18"/>
        </w:rPr>
        <w:t>IP Law</w:t>
      </w:r>
    </w:p>
    <w:p w14:paraId="49369AE8" w14:textId="45BC91CE" w:rsidR="00C9373C" w:rsidRDefault="00796FB1" w:rsidP="00FF36CB">
      <w:pPr>
        <w:jc w:val="right"/>
        <w:rPr>
          <w:rFonts w:ascii="Palatino Linotype" w:hAnsi="Palatino Linotype"/>
          <w:i/>
          <w:smallCaps/>
          <w:sz w:val="20"/>
          <w:szCs w:val="20"/>
        </w:rPr>
      </w:pPr>
      <w:r>
        <w:rPr>
          <w:rFonts w:ascii="Palatino Linotype" w:hAnsi="Palatino Linotype"/>
          <w:i/>
          <w:smallCaps/>
          <w:sz w:val="20"/>
          <w:szCs w:val="20"/>
        </w:rPr>
        <w:t>84 W. Santa Clara Street</w:t>
      </w:r>
    </w:p>
    <w:p w14:paraId="4EE19537" w14:textId="1C3A4921" w:rsidR="00FF36CB" w:rsidRPr="00FF36CB" w:rsidRDefault="00C25D73" w:rsidP="00FF36CB">
      <w:pPr>
        <w:jc w:val="right"/>
        <w:rPr>
          <w:rFonts w:ascii="Palatino Linotype" w:hAnsi="Palatino Linotype"/>
          <w:i/>
          <w:smallCaps/>
          <w:sz w:val="20"/>
          <w:szCs w:val="20"/>
        </w:rPr>
      </w:pPr>
      <w:r>
        <w:rPr>
          <w:rFonts w:ascii="Palatino Linotype" w:hAnsi="Palatino Linotype"/>
          <w:i/>
          <w:smallCaps/>
          <w:sz w:val="20"/>
          <w:szCs w:val="20"/>
        </w:rPr>
        <w:t xml:space="preserve">Suite </w:t>
      </w:r>
      <w:r w:rsidR="00796FB1">
        <w:rPr>
          <w:rFonts w:ascii="Palatino Linotype" w:hAnsi="Palatino Linotype"/>
          <w:i/>
          <w:smallCaps/>
          <w:sz w:val="20"/>
          <w:szCs w:val="20"/>
        </w:rPr>
        <w:t>7</w:t>
      </w:r>
      <w:r w:rsidR="00CD2596">
        <w:rPr>
          <w:rFonts w:ascii="Palatino Linotype" w:hAnsi="Palatino Linotype"/>
          <w:i/>
          <w:smallCaps/>
          <w:sz w:val="20"/>
          <w:szCs w:val="20"/>
        </w:rPr>
        <w:t>00</w:t>
      </w:r>
    </w:p>
    <w:p w14:paraId="3F263E24" w14:textId="77777777" w:rsidR="00FF36CB" w:rsidRDefault="00C25D73" w:rsidP="00FF36CB">
      <w:pPr>
        <w:jc w:val="right"/>
        <w:rPr>
          <w:rFonts w:ascii="Palatino Linotype" w:hAnsi="Palatino Linotype"/>
          <w:i/>
          <w:smallCaps/>
          <w:sz w:val="20"/>
          <w:szCs w:val="20"/>
        </w:rPr>
      </w:pPr>
      <w:r>
        <w:rPr>
          <w:rFonts w:ascii="Palatino Linotype" w:hAnsi="Palatino Linotype"/>
          <w:i/>
          <w:smallCaps/>
          <w:sz w:val="20"/>
          <w:szCs w:val="20"/>
        </w:rPr>
        <w:t>San Jose</w:t>
      </w:r>
      <w:r w:rsidR="00CD2596">
        <w:rPr>
          <w:rFonts w:ascii="Palatino Linotype" w:hAnsi="Palatino Linotype"/>
          <w:i/>
          <w:smallCaps/>
          <w:sz w:val="20"/>
          <w:szCs w:val="20"/>
        </w:rPr>
        <w:t>, CA 95113</w:t>
      </w:r>
    </w:p>
    <w:p w14:paraId="392AB8C8" w14:textId="77777777" w:rsidR="00CB3E73" w:rsidRDefault="00D15682" w:rsidP="00FF36CB">
      <w:pPr>
        <w:jc w:val="right"/>
        <w:rPr>
          <w:rFonts w:ascii="Palatino Linotype" w:hAnsi="Palatino Linotype"/>
          <w:i/>
          <w:smallCaps/>
          <w:sz w:val="20"/>
          <w:szCs w:val="20"/>
        </w:rPr>
      </w:pPr>
      <w:r>
        <w:rPr>
          <w:rFonts w:ascii="Palatino Linotype" w:hAnsi="Palatino Linotype"/>
          <w:i/>
          <w:smallCaps/>
          <w:sz w:val="20"/>
          <w:szCs w:val="20"/>
        </w:rPr>
        <w:t>408|981-</w:t>
      </w:r>
      <w:r w:rsidR="00CB3E73">
        <w:rPr>
          <w:rFonts w:ascii="Palatino Linotype" w:hAnsi="Palatino Linotype"/>
          <w:i/>
          <w:smallCaps/>
          <w:sz w:val="20"/>
          <w:szCs w:val="20"/>
        </w:rPr>
        <w:t>4293</w:t>
      </w:r>
    </w:p>
    <w:p w14:paraId="36FF91FF" w14:textId="77777777" w:rsidR="00FF36CB" w:rsidRPr="00CD2596" w:rsidRDefault="003B41BA" w:rsidP="00FF36CB">
      <w:pPr>
        <w:jc w:val="right"/>
        <w:rPr>
          <w:rFonts w:ascii="Palatino Linotype" w:hAnsi="Palatino Linotype"/>
          <w:i/>
          <w:smallCaps/>
          <w:sz w:val="20"/>
          <w:szCs w:val="20"/>
        </w:rPr>
      </w:pPr>
      <w:r>
        <w:rPr>
          <w:rFonts w:ascii="Palatino Linotype" w:hAnsi="Palatino Linotype"/>
          <w:i/>
          <w:smallCaps/>
          <w:sz w:val="20"/>
          <w:szCs w:val="20"/>
        </w:rPr>
        <w:t>Payne@BobPayne.com</w:t>
      </w:r>
    </w:p>
    <w:p w14:paraId="76EC2B07" w14:textId="77777777" w:rsidR="00627508" w:rsidRDefault="00627508" w:rsidP="00627508">
      <w:pPr>
        <w:tabs>
          <w:tab w:val="left" w:pos="2110"/>
        </w:tabs>
        <w:rPr>
          <w:b/>
          <w:bCs/>
        </w:rPr>
      </w:pPr>
    </w:p>
    <w:p w14:paraId="548C17E4" w14:textId="1FF6379D" w:rsidR="00627508" w:rsidRDefault="00627508" w:rsidP="00627508">
      <w:pPr>
        <w:tabs>
          <w:tab w:val="left" w:pos="2110"/>
        </w:tabs>
        <w:jc w:val="center"/>
        <w:rPr>
          <w:b/>
          <w:bCs/>
        </w:rPr>
      </w:pPr>
      <w:r w:rsidRPr="00071749">
        <w:rPr>
          <w:b/>
          <w:bCs/>
        </w:rPr>
        <w:t>NON-FINAL OFFICE ACTION</w:t>
      </w:r>
      <w:r>
        <w:rPr>
          <w:b/>
          <w:bCs/>
        </w:rPr>
        <w:t>S AGAINST TRADEMARK APPLICATIONS:</w:t>
      </w:r>
    </w:p>
    <w:p w14:paraId="442176F6" w14:textId="32BE2367" w:rsidR="00627508" w:rsidRDefault="00627508" w:rsidP="00627508">
      <w:pPr>
        <w:tabs>
          <w:tab w:val="left" w:pos="2110"/>
        </w:tabs>
        <w:jc w:val="center"/>
        <w:rPr>
          <w:b/>
          <w:bCs/>
        </w:rPr>
      </w:pPr>
      <w:r>
        <w:rPr>
          <w:b/>
          <w:bCs/>
        </w:rPr>
        <w:t>WE’RE HERE</w:t>
      </w:r>
      <w:r w:rsidR="00CE592B">
        <w:rPr>
          <w:b/>
          <w:bCs/>
        </w:rPr>
        <w:t xml:space="preserve"> FOR YOU</w:t>
      </w:r>
    </w:p>
    <w:p w14:paraId="69A4E36F" w14:textId="77777777" w:rsidR="00CE592B" w:rsidRPr="00071749" w:rsidRDefault="00CE592B" w:rsidP="00627508">
      <w:pPr>
        <w:tabs>
          <w:tab w:val="left" w:pos="2110"/>
        </w:tabs>
        <w:jc w:val="center"/>
        <w:rPr>
          <w:b/>
          <w:bCs/>
        </w:rPr>
      </w:pPr>
    </w:p>
    <w:p w14:paraId="52DD8D1D" w14:textId="77777777" w:rsidR="00627508" w:rsidRDefault="00627508" w:rsidP="00516AB7">
      <w:pPr>
        <w:tabs>
          <w:tab w:val="left" w:pos="2110"/>
        </w:tabs>
        <w:spacing w:after="120"/>
      </w:pPr>
      <w:r>
        <w:t>You filed a trademark application for your business and received the initial response from the Trademark Office (USPTO), denying the application.  This response is called a Non-Final Office Action.  The ground for denial is a likelihood of confusion with a preexisting trademark, based on similarity of the mark and similarity of the goods.  What to do?</w:t>
      </w:r>
    </w:p>
    <w:p w14:paraId="187B71E5" w14:textId="77777777" w:rsidR="00627508" w:rsidRPr="0055618F" w:rsidRDefault="00627508" w:rsidP="00516AB7">
      <w:pPr>
        <w:tabs>
          <w:tab w:val="left" w:pos="2110"/>
        </w:tabs>
        <w:spacing w:after="120"/>
      </w:pPr>
      <w:r>
        <w:t xml:space="preserve">If you haven’t done so already, hire experienced legal counsel.  Experienced counsel can turn </w:t>
      </w:r>
      <w:r w:rsidRPr="005E54AC">
        <w:rPr>
          <w:color w:val="EE0000"/>
        </w:rPr>
        <w:t xml:space="preserve">likelihood of confusion refusals </w:t>
      </w:r>
      <w:r>
        <w:t xml:space="preserve">around </w:t>
      </w:r>
      <w:r w:rsidRPr="005E54AC">
        <w:rPr>
          <w:color w:val="EE0000"/>
        </w:rPr>
        <w:t>nearly 40% of the time</w:t>
      </w:r>
      <w:r>
        <w:t xml:space="preserve">.  She or he can evaluate the best strategy to overcome the rejection, if the option exists.  In all likelihood, a response would include argument of facts and case law and trademark regulations to demonstrate that the likelihood of confusion either does not exist or is remote.  But act promptly. </w:t>
      </w:r>
      <w:r w:rsidRPr="00211A92">
        <w:rPr>
          <w:color w:val="EE0000"/>
        </w:rPr>
        <w:t> </w:t>
      </w:r>
      <w:r w:rsidRPr="0055618F">
        <w:t xml:space="preserve">If you don’t file a response by the three-month deadline, your application will </w:t>
      </w:r>
      <w:r>
        <w:t>automatically be deemed</w:t>
      </w:r>
      <w:r w:rsidRPr="0055618F">
        <w:t xml:space="preserve"> abandoned</w:t>
      </w:r>
      <w:r>
        <w:t>.</w:t>
      </w:r>
      <w:r w:rsidRPr="0055618F">
        <w:t xml:space="preserve"> </w:t>
      </w:r>
    </w:p>
    <w:p w14:paraId="52CD284B" w14:textId="77777777" w:rsidR="00627508" w:rsidRDefault="00627508" w:rsidP="00516AB7">
      <w:pPr>
        <w:tabs>
          <w:tab w:val="left" w:pos="2110"/>
        </w:tabs>
        <w:spacing w:after="120"/>
      </w:pPr>
      <w:r>
        <w:t xml:space="preserve">To be clear, rejections of trademark applications are based on a variety of grounds.  In addition to likelihood of confusion, the basis may be an inadequate specimen or an inadequate description of a design mark.  This article focuses on a denial based on likelihood of confusion with a prior, existing trademark (the “cited mark”).  Such denials are often the most difficult to overcome, because of the priority issues and subjective nature of the evaluation.  </w:t>
      </w:r>
    </w:p>
    <w:p w14:paraId="238FB7BD" w14:textId="77777777" w:rsidR="00627508" w:rsidRPr="004B39C0" w:rsidRDefault="00627508" w:rsidP="00516AB7">
      <w:pPr>
        <w:tabs>
          <w:tab w:val="left" w:pos="2110"/>
        </w:tabs>
        <w:spacing w:after="120"/>
      </w:pPr>
      <w:r>
        <w:t xml:space="preserve">While strategies include filing </w:t>
      </w:r>
      <w:r w:rsidRPr="004B39C0">
        <w:t xml:space="preserve">a </w:t>
      </w:r>
      <w:r>
        <w:t>petition to cancel the cited mark and</w:t>
      </w:r>
      <w:r w:rsidRPr="004B39C0">
        <w:t xml:space="preserve"> deleting certain goods or services</w:t>
      </w:r>
      <w:r>
        <w:t xml:space="preserve"> in the application’s description, typically the response will be submitting</w:t>
      </w:r>
      <w:r w:rsidRPr="004B39C0">
        <w:t xml:space="preserve"> arguments </w:t>
      </w:r>
      <w:r>
        <w:t xml:space="preserve">and exhibits </w:t>
      </w:r>
      <w:r w:rsidRPr="004B39C0">
        <w:t>in response to the Non-Final Office Action</w:t>
      </w:r>
      <w:r>
        <w:t xml:space="preserve">.  The response is aimed at </w:t>
      </w:r>
      <w:r w:rsidRPr="004B39C0">
        <w:t>persuad</w:t>
      </w:r>
      <w:r>
        <w:t>ing</w:t>
      </w:r>
      <w:r w:rsidRPr="004B39C0">
        <w:t xml:space="preserve"> the trademark examiner that there in fact is no likelihood of confusion</w:t>
      </w:r>
      <w:r>
        <w:t>, and thus the application should be allowed.  We distinguish all the ways the cited mark differs from the client’s mark and how dissimilar the goods or services of the cited mark are to those in the client’s application.  We look at channels of trade and targeted customers.</w:t>
      </w:r>
    </w:p>
    <w:p w14:paraId="5B88961D" w14:textId="77777777" w:rsidR="00627508" w:rsidRDefault="00627508" w:rsidP="00516AB7">
      <w:pPr>
        <w:tabs>
          <w:tab w:val="left" w:pos="2110"/>
        </w:tabs>
        <w:spacing w:after="120"/>
      </w:pPr>
      <w:r>
        <w:t>Your best option is to consult an experienced trademark law firm, like us.   We have a national trademark practice. Because all submissions are made online, we can effectively represent you in responding to non-final office actions -- no matter where you are and regardless of where we are.</w:t>
      </w:r>
    </w:p>
    <w:p w14:paraId="0ED562D1" w14:textId="77777777" w:rsidR="003F23CF" w:rsidRDefault="003F23CF" w:rsidP="003F23CF">
      <w:pPr>
        <w:spacing w:after="100" w:afterAutospacing="1"/>
        <w:rPr>
          <w:i/>
          <w:iCs/>
        </w:rPr>
      </w:pPr>
    </w:p>
    <w:p w14:paraId="6F620719" w14:textId="58EC614E" w:rsidR="00942A29" w:rsidRDefault="00A26389" w:rsidP="00516AB7">
      <w:pPr>
        <w:spacing w:after="120"/>
        <w:rPr>
          <w:i/>
          <w:iCs/>
        </w:rPr>
      </w:pPr>
      <w:r w:rsidRPr="00A26389">
        <w:rPr>
          <w:i/>
          <w:iCs/>
        </w:rPr>
        <w:t>The author is founder of Payne IP Law, </w:t>
      </w:r>
      <w:hyperlink r:id="rId6" w:tgtFrame="_blank" w:history="1">
        <w:r w:rsidRPr="00A26389">
          <w:rPr>
            <w:rStyle w:val="Hyperlink"/>
            <w:i/>
            <w:iCs/>
          </w:rPr>
          <w:t>www.bobpayne.com</w:t>
        </w:r>
      </w:hyperlink>
      <w:r w:rsidRPr="00A26389">
        <w:rPr>
          <w:i/>
          <w:iCs/>
        </w:rPr>
        <w:t xml:space="preserve">, which has a national trademark prosecution and litigation practice.  See also his companion articles on </w:t>
      </w:r>
      <w:hyperlink r:id="rId7" w:history="1">
        <w:r w:rsidRPr="00B91BD2">
          <w:rPr>
            <w:rStyle w:val="Hyperlink"/>
            <w:i/>
            <w:iCs/>
          </w:rPr>
          <w:t>third-party oppositions</w:t>
        </w:r>
      </w:hyperlink>
      <w:r w:rsidRPr="00A26389">
        <w:rPr>
          <w:i/>
          <w:iCs/>
        </w:rPr>
        <w:t xml:space="preserve"> and </w:t>
      </w:r>
      <w:hyperlink r:id="rId8" w:history="1">
        <w:r w:rsidRPr="00B91BD2">
          <w:rPr>
            <w:rStyle w:val="Hyperlink"/>
            <w:i/>
            <w:iCs/>
          </w:rPr>
          <w:t>trademark infringement lawsuits.</w:t>
        </w:r>
      </w:hyperlink>
    </w:p>
    <w:p w14:paraId="759607B3" w14:textId="77777777" w:rsidR="00942A29" w:rsidRDefault="00942A29" w:rsidP="00516AB7">
      <w:pPr>
        <w:spacing w:after="120"/>
        <w:rPr>
          <w:rFonts w:cs="Times New Roman"/>
          <w:highlight w:val="yellow"/>
        </w:rPr>
      </w:pPr>
    </w:p>
    <w:sectPr w:rsidR="00942A29" w:rsidSect="00087D52">
      <w:headerReference w:type="default" r:id="rId9"/>
      <w:pgSz w:w="12240" w:h="15840"/>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F1DFE" w14:textId="77777777" w:rsidR="00496214" w:rsidRDefault="00496214" w:rsidP="007B716F">
      <w:r>
        <w:separator/>
      </w:r>
    </w:p>
  </w:endnote>
  <w:endnote w:type="continuationSeparator" w:id="0">
    <w:p w14:paraId="6FFAEF14" w14:textId="77777777" w:rsidR="00496214" w:rsidRDefault="00496214" w:rsidP="007B7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E3A31" w14:textId="77777777" w:rsidR="00496214" w:rsidRDefault="00496214" w:rsidP="007B716F">
      <w:r>
        <w:separator/>
      </w:r>
    </w:p>
  </w:footnote>
  <w:footnote w:type="continuationSeparator" w:id="0">
    <w:p w14:paraId="54F44014" w14:textId="77777777" w:rsidR="00496214" w:rsidRDefault="00496214" w:rsidP="007B7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0D323" w14:textId="77777777" w:rsidR="007B716F" w:rsidRDefault="007B716F">
    <w:pPr>
      <w:pStyle w:val="Header"/>
    </w:pPr>
    <w:r>
      <w:t>Engagement Letter</w:t>
    </w:r>
  </w:p>
  <w:p w14:paraId="3990C699" w14:textId="372B5BF8" w:rsidR="007B716F" w:rsidRDefault="0012721B">
    <w:pPr>
      <w:pStyle w:val="Header"/>
    </w:pPr>
    <w:r>
      <w:fldChar w:fldCharType="begin"/>
    </w:r>
    <w:r>
      <w:instrText xml:space="preserve"> DATE \@ "MMMM d, yyyy" </w:instrText>
    </w:r>
    <w:r>
      <w:fldChar w:fldCharType="separate"/>
    </w:r>
    <w:r w:rsidR="00B91BD2">
      <w:rPr>
        <w:noProof/>
      </w:rPr>
      <w:t>April 14, 2026</w:t>
    </w:r>
    <w:r>
      <w:rPr>
        <w:noProof/>
      </w:rPr>
      <w:fldChar w:fldCharType="end"/>
    </w:r>
  </w:p>
  <w:p w14:paraId="021FB01B" w14:textId="77777777" w:rsidR="007B716F" w:rsidRDefault="007B716F">
    <w:pPr>
      <w:pStyle w:val="Header"/>
    </w:pPr>
    <w:r>
      <w:t xml:space="preserve">Page </w:t>
    </w:r>
    <w:r w:rsidR="0012721B">
      <w:fldChar w:fldCharType="begin"/>
    </w:r>
    <w:r w:rsidR="0012721B">
      <w:instrText xml:space="preserve"> PAGE   \* MERGEFORMAT </w:instrText>
    </w:r>
    <w:r w:rsidR="0012721B">
      <w:fldChar w:fldCharType="separate"/>
    </w:r>
    <w:r w:rsidR="00F830AA">
      <w:rPr>
        <w:noProof/>
      </w:rPr>
      <w:t>2</w:t>
    </w:r>
    <w:r w:rsidR="0012721B">
      <w:rPr>
        <w:noProof/>
      </w:rPr>
      <w:fldChar w:fldCharType="end"/>
    </w:r>
  </w:p>
  <w:p w14:paraId="14B3AB17" w14:textId="77777777" w:rsidR="007B716F" w:rsidRDefault="007B71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6CB"/>
    <w:rsid w:val="0000766D"/>
    <w:rsid w:val="00086BF1"/>
    <w:rsid w:val="00087D52"/>
    <w:rsid w:val="000A11C2"/>
    <w:rsid w:val="000D6D54"/>
    <w:rsid w:val="000F100E"/>
    <w:rsid w:val="00104489"/>
    <w:rsid w:val="0012721B"/>
    <w:rsid w:val="00135F18"/>
    <w:rsid w:val="001548CF"/>
    <w:rsid w:val="00163D7C"/>
    <w:rsid w:val="001B6AF9"/>
    <w:rsid w:val="001E4E29"/>
    <w:rsid w:val="001F00F9"/>
    <w:rsid w:val="001F0617"/>
    <w:rsid w:val="001F5349"/>
    <w:rsid w:val="002421F2"/>
    <w:rsid w:val="00267545"/>
    <w:rsid w:val="00297D24"/>
    <w:rsid w:val="002A6C23"/>
    <w:rsid w:val="002B4AB5"/>
    <w:rsid w:val="002D60A2"/>
    <w:rsid w:val="002F06A1"/>
    <w:rsid w:val="002F0D5B"/>
    <w:rsid w:val="00317A0C"/>
    <w:rsid w:val="003263DD"/>
    <w:rsid w:val="00337DAC"/>
    <w:rsid w:val="00344BD5"/>
    <w:rsid w:val="00345B91"/>
    <w:rsid w:val="003476FE"/>
    <w:rsid w:val="00354D84"/>
    <w:rsid w:val="003609D5"/>
    <w:rsid w:val="00367EAC"/>
    <w:rsid w:val="003700A9"/>
    <w:rsid w:val="003B41BA"/>
    <w:rsid w:val="003B4D86"/>
    <w:rsid w:val="003F23CF"/>
    <w:rsid w:val="00427DD2"/>
    <w:rsid w:val="00480E6B"/>
    <w:rsid w:val="00491007"/>
    <w:rsid w:val="00493E92"/>
    <w:rsid w:val="00496214"/>
    <w:rsid w:val="004B4A8B"/>
    <w:rsid w:val="004C536A"/>
    <w:rsid w:val="004D2897"/>
    <w:rsid w:val="004F0F10"/>
    <w:rsid w:val="004F1EB1"/>
    <w:rsid w:val="005000DC"/>
    <w:rsid w:val="00516AB7"/>
    <w:rsid w:val="00522168"/>
    <w:rsid w:val="00525113"/>
    <w:rsid w:val="0053575A"/>
    <w:rsid w:val="00537E67"/>
    <w:rsid w:val="00550DAD"/>
    <w:rsid w:val="00570588"/>
    <w:rsid w:val="005B33DA"/>
    <w:rsid w:val="005B4047"/>
    <w:rsid w:val="005C03A8"/>
    <w:rsid w:val="005E2998"/>
    <w:rsid w:val="005F191A"/>
    <w:rsid w:val="005F732F"/>
    <w:rsid w:val="0061242F"/>
    <w:rsid w:val="00627508"/>
    <w:rsid w:val="00660C86"/>
    <w:rsid w:val="00691833"/>
    <w:rsid w:val="00694205"/>
    <w:rsid w:val="006B6DDA"/>
    <w:rsid w:val="006B7BDA"/>
    <w:rsid w:val="006D0C89"/>
    <w:rsid w:val="006D1CA5"/>
    <w:rsid w:val="00700DA8"/>
    <w:rsid w:val="0071315A"/>
    <w:rsid w:val="00722CAD"/>
    <w:rsid w:val="0072410D"/>
    <w:rsid w:val="00757820"/>
    <w:rsid w:val="0078495F"/>
    <w:rsid w:val="0079056D"/>
    <w:rsid w:val="00796FB1"/>
    <w:rsid w:val="007B716F"/>
    <w:rsid w:val="007D15D2"/>
    <w:rsid w:val="007E2537"/>
    <w:rsid w:val="00811C46"/>
    <w:rsid w:val="008127E1"/>
    <w:rsid w:val="00816622"/>
    <w:rsid w:val="0085405D"/>
    <w:rsid w:val="00860917"/>
    <w:rsid w:val="00866248"/>
    <w:rsid w:val="00875199"/>
    <w:rsid w:val="0088355B"/>
    <w:rsid w:val="00887A9D"/>
    <w:rsid w:val="008A3CA1"/>
    <w:rsid w:val="008B2D22"/>
    <w:rsid w:val="008E064B"/>
    <w:rsid w:val="008E0F9B"/>
    <w:rsid w:val="008E6F31"/>
    <w:rsid w:val="008F76EE"/>
    <w:rsid w:val="009051F3"/>
    <w:rsid w:val="00916DE4"/>
    <w:rsid w:val="009300B1"/>
    <w:rsid w:val="00930968"/>
    <w:rsid w:val="00942A29"/>
    <w:rsid w:val="00966655"/>
    <w:rsid w:val="00977748"/>
    <w:rsid w:val="00984D97"/>
    <w:rsid w:val="00990435"/>
    <w:rsid w:val="00996C52"/>
    <w:rsid w:val="009C3CB9"/>
    <w:rsid w:val="009C6EE0"/>
    <w:rsid w:val="009E2C44"/>
    <w:rsid w:val="009E370D"/>
    <w:rsid w:val="00A26389"/>
    <w:rsid w:val="00A30C32"/>
    <w:rsid w:val="00A35C36"/>
    <w:rsid w:val="00A9167A"/>
    <w:rsid w:val="00AA2B32"/>
    <w:rsid w:val="00AB07D6"/>
    <w:rsid w:val="00AF1F2C"/>
    <w:rsid w:val="00AF20F1"/>
    <w:rsid w:val="00B005FF"/>
    <w:rsid w:val="00B13939"/>
    <w:rsid w:val="00B15E67"/>
    <w:rsid w:val="00B208E3"/>
    <w:rsid w:val="00B27B4B"/>
    <w:rsid w:val="00B91BD2"/>
    <w:rsid w:val="00BB706F"/>
    <w:rsid w:val="00BC4331"/>
    <w:rsid w:val="00BD57BC"/>
    <w:rsid w:val="00BF4D06"/>
    <w:rsid w:val="00BF4F7D"/>
    <w:rsid w:val="00BF6D6C"/>
    <w:rsid w:val="00C01D8E"/>
    <w:rsid w:val="00C07026"/>
    <w:rsid w:val="00C079BA"/>
    <w:rsid w:val="00C2233C"/>
    <w:rsid w:val="00C25D73"/>
    <w:rsid w:val="00C55903"/>
    <w:rsid w:val="00C7449D"/>
    <w:rsid w:val="00C81DEB"/>
    <w:rsid w:val="00C9373C"/>
    <w:rsid w:val="00CB3E73"/>
    <w:rsid w:val="00CB4733"/>
    <w:rsid w:val="00CC0B54"/>
    <w:rsid w:val="00CD2596"/>
    <w:rsid w:val="00CD5E5B"/>
    <w:rsid w:val="00CE0EEB"/>
    <w:rsid w:val="00CE592B"/>
    <w:rsid w:val="00D117AE"/>
    <w:rsid w:val="00D15682"/>
    <w:rsid w:val="00D20F88"/>
    <w:rsid w:val="00D21AEF"/>
    <w:rsid w:val="00D25C3F"/>
    <w:rsid w:val="00D35E6C"/>
    <w:rsid w:val="00D71E0A"/>
    <w:rsid w:val="00D72725"/>
    <w:rsid w:val="00D971C6"/>
    <w:rsid w:val="00DB0400"/>
    <w:rsid w:val="00DB63F0"/>
    <w:rsid w:val="00DC3CAA"/>
    <w:rsid w:val="00DD0C24"/>
    <w:rsid w:val="00DD2149"/>
    <w:rsid w:val="00E204E9"/>
    <w:rsid w:val="00E22F39"/>
    <w:rsid w:val="00E42D99"/>
    <w:rsid w:val="00E4432B"/>
    <w:rsid w:val="00E67CCF"/>
    <w:rsid w:val="00E86DD5"/>
    <w:rsid w:val="00E91C23"/>
    <w:rsid w:val="00E93EE7"/>
    <w:rsid w:val="00E9434E"/>
    <w:rsid w:val="00EA3543"/>
    <w:rsid w:val="00EF7F4A"/>
    <w:rsid w:val="00F07C98"/>
    <w:rsid w:val="00F10C7A"/>
    <w:rsid w:val="00F13174"/>
    <w:rsid w:val="00F175A8"/>
    <w:rsid w:val="00F54799"/>
    <w:rsid w:val="00F66DC3"/>
    <w:rsid w:val="00F830AA"/>
    <w:rsid w:val="00FA617A"/>
    <w:rsid w:val="00FA68DA"/>
    <w:rsid w:val="00FC7D08"/>
    <w:rsid w:val="00FD169D"/>
    <w:rsid w:val="00FF36CB"/>
    <w:rsid w:val="00FF5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EA812"/>
  <w15:docId w15:val="{2C669E02-814C-4863-8E26-1A1FC60F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D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716F"/>
    <w:pPr>
      <w:tabs>
        <w:tab w:val="center" w:pos="4680"/>
        <w:tab w:val="right" w:pos="9360"/>
      </w:tabs>
    </w:pPr>
  </w:style>
  <w:style w:type="character" w:customStyle="1" w:styleId="HeaderChar">
    <w:name w:val="Header Char"/>
    <w:basedOn w:val="DefaultParagraphFont"/>
    <w:link w:val="Header"/>
    <w:uiPriority w:val="99"/>
    <w:rsid w:val="007B716F"/>
  </w:style>
  <w:style w:type="paragraph" w:styleId="Footer">
    <w:name w:val="footer"/>
    <w:basedOn w:val="Normal"/>
    <w:link w:val="FooterChar"/>
    <w:uiPriority w:val="99"/>
    <w:semiHidden/>
    <w:unhideWhenUsed/>
    <w:rsid w:val="007B716F"/>
    <w:pPr>
      <w:tabs>
        <w:tab w:val="center" w:pos="4680"/>
        <w:tab w:val="right" w:pos="9360"/>
      </w:tabs>
    </w:pPr>
  </w:style>
  <w:style w:type="character" w:customStyle="1" w:styleId="FooterChar">
    <w:name w:val="Footer Char"/>
    <w:basedOn w:val="DefaultParagraphFont"/>
    <w:link w:val="Footer"/>
    <w:uiPriority w:val="99"/>
    <w:semiHidden/>
    <w:rsid w:val="007B716F"/>
  </w:style>
  <w:style w:type="paragraph" w:styleId="BalloonText">
    <w:name w:val="Balloon Text"/>
    <w:basedOn w:val="Normal"/>
    <w:link w:val="BalloonTextChar"/>
    <w:uiPriority w:val="99"/>
    <w:semiHidden/>
    <w:unhideWhenUsed/>
    <w:rsid w:val="007B716F"/>
    <w:rPr>
      <w:rFonts w:ascii="Tahoma" w:hAnsi="Tahoma" w:cs="Tahoma"/>
      <w:sz w:val="16"/>
      <w:szCs w:val="16"/>
    </w:rPr>
  </w:style>
  <w:style w:type="character" w:customStyle="1" w:styleId="BalloonTextChar">
    <w:name w:val="Balloon Text Char"/>
    <w:basedOn w:val="DefaultParagraphFont"/>
    <w:link w:val="BalloonText"/>
    <w:uiPriority w:val="99"/>
    <w:semiHidden/>
    <w:rsid w:val="007B716F"/>
    <w:rPr>
      <w:rFonts w:ascii="Tahoma" w:hAnsi="Tahoma" w:cs="Tahoma"/>
      <w:sz w:val="16"/>
      <w:szCs w:val="16"/>
    </w:rPr>
  </w:style>
  <w:style w:type="character" w:styleId="Hyperlink">
    <w:name w:val="Hyperlink"/>
    <w:basedOn w:val="DefaultParagraphFont"/>
    <w:uiPriority w:val="99"/>
    <w:unhideWhenUsed/>
    <w:rsid w:val="00FF5445"/>
    <w:rPr>
      <w:strike w:val="0"/>
      <w:dstrike w:val="0"/>
      <w:color w:val="0000FF"/>
      <w:u w:val="none"/>
      <w:effect w:val="none"/>
    </w:rPr>
  </w:style>
  <w:style w:type="character" w:styleId="UnresolvedMention">
    <w:name w:val="Unresolved Mention"/>
    <w:basedOn w:val="DefaultParagraphFont"/>
    <w:uiPriority w:val="99"/>
    <w:semiHidden/>
    <w:unhideWhenUsed/>
    <w:rsid w:val="007578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604003">
      <w:bodyDiv w:val="1"/>
      <w:marLeft w:val="0"/>
      <w:marRight w:val="0"/>
      <w:marTop w:val="0"/>
      <w:marBottom w:val="0"/>
      <w:divBdr>
        <w:top w:val="none" w:sz="0" w:space="0" w:color="auto"/>
        <w:left w:val="none" w:sz="0" w:space="0" w:color="auto"/>
        <w:bottom w:val="none" w:sz="0" w:space="0" w:color="auto"/>
        <w:right w:val="none" w:sz="0" w:space="0" w:color="auto"/>
      </w:divBdr>
      <w:divsChild>
        <w:div w:id="1156922127">
          <w:marLeft w:val="0"/>
          <w:marRight w:val="0"/>
          <w:marTop w:val="0"/>
          <w:marBottom w:val="0"/>
          <w:divBdr>
            <w:top w:val="none" w:sz="0" w:space="0" w:color="auto"/>
            <w:left w:val="none" w:sz="0" w:space="0" w:color="auto"/>
            <w:bottom w:val="none" w:sz="0" w:space="0" w:color="auto"/>
            <w:right w:val="none" w:sz="0" w:space="0" w:color="auto"/>
          </w:divBdr>
          <w:divsChild>
            <w:div w:id="1098209588">
              <w:marLeft w:val="0"/>
              <w:marRight w:val="0"/>
              <w:marTop w:val="0"/>
              <w:marBottom w:val="0"/>
              <w:divBdr>
                <w:top w:val="none" w:sz="0" w:space="0" w:color="auto"/>
                <w:left w:val="none" w:sz="0" w:space="0" w:color="auto"/>
                <w:bottom w:val="none" w:sz="0" w:space="0" w:color="auto"/>
                <w:right w:val="none" w:sz="0" w:space="0" w:color="auto"/>
              </w:divBdr>
              <w:divsChild>
                <w:div w:id="314341082">
                  <w:marLeft w:val="0"/>
                  <w:marRight w:val="0"/>
                  <w:marTop w:val="0"/>
                  <w:marBottom w:val="0"/>
                  <w:divBdr>
                    <w:top w:val="none" w:sz="0" w:space="0" w:color="auto"/>
                    <w:left w:val="none" w:sz="0" w:space="0" w:color="auto"/>
                    <w:bottom w:val="none" w:sz="0" w:space="0" w:color="auto"/>
                    <w:right w:val="none" w:sz="0" w:space="0" w:color="auto"/>
                  </w:divBdr>
                  <w:divsChild>
                    <w:div w:id="68120562">
                      <w:marLeft w:val="0"/>
                      <w:marRight w:val="0"/>
                      <w:marTop w:val="0"/>
                      <w:marBottom w:val="0"/>
                      <w:divBdr>
                        <w:top w:val="none" w:sz="0" w:space="0" w:color="auto"/>
                        <w:left w:val="none" w:sz="0" w:space="0" w:color="auto"/>
                        <w:bottom w:val="none" w:sz="0" w:space="0" w:color="auto"/>
                        <w:right w:val="none" w:sz="0" w:space="0" w:color="auto"/>
                      </w:divBdr>
                    </w:div>
                    <w:div w:id="787117650">
                      <w:marLeft w:val="0"/>
                      <w:marRight w:val="0"/>
                      <w:marTop w:val="0"/>
                      <w:marBottom w:val="0"/>
                      <w:divBdr>
                        <w:top w:val="none" w:sz="0" w:space="0" w:color="auto"/>
                        <w:left w:val="none" w:sz="0" w:space="0" w:color="auto"/>
                        <w:bottom w:val="none" w:sz="0" w:space="0" w:color="auto"/>
                        <w:right w:val="none" w:sz="0" w:space="0" w:color="auto"/>
                      </w:divBdr>
                    </w:div>
                    <w:div w:id="1171916492">
                      <w:marLeft w:val="0"/>
                      <w:marRight w:val="0"/>
                      <w:marTop w:val="0"/>
                      <w:marBottom w:val="0"/>
                      <w:divBdr>
                        <w:top w:val="none" w:sz="0" w:space="0" w:color="auto"/>
                        <w:left w:val="none" w:sz="0" w:space="0" w:color="auto"/>
                        <w:bottom w:val="none" w:sz="0" w:space="0" w:color="auto"/>
                        <w:right w:val="none" w:sz="0" w:space="0" w:color="auto"/>
                      </w:divBdr>
                    </w:div>
                    <w:div w:id="1437139470">
                      <w:marLeft w:val="0"/>
                      <w:marRight w:val="0"/>
                      <w:marTop w:val="0"/>
                      <w:marBottom w:val="0"/>
                      <w:divBdr>
                        <w:top w:val="none" w:sz="0" w:space="0" w:color="auto"/>
                        <w:left w:val="none" w:sz="0" w:space="0" w:color="auto"/>
                        <w:bottom w:val="none" w:sz="0" w:space="0" w:color="auto"/>
                        <w:right w:val="none" w:sz="0" w:space="0" w:color="auto"/>
                      </w:divBdr>
                    </w:div>
                    <w:div w:id="1308702364">
                      <w:marLeft w:val="0"/>
                      <w:marRight w:val="0"/>
                      <w:marTop w:val="0"/>
                      <w:marBottom w:val="0"/>
                      <w:divBdr>
                        <w:top w:val="none" w:sz="0" w:space="0" w:color="auto"/>
                        <w:left w:val="none" w:sz="0" w:space="0" w:color="auto"/>
                        <w:bottom w:val="none" w:sz="0" w:space="0" w:color="auto"/>
                        <w:right w:val="none" w:sz="0" w:space="0" w:color="auto"/>
                      </w:divBdr>
                    </w:div>
                    <w:div w:id="188154002">
                      <w:marLeft w:val="0"/>
                      <w:marRight w:val="0"/>
                      <w:marTop w:val="0"/>
                      <w:marBottom w:val="0"/>
                      <w:divBdr>
                        <w:top w:val="none" w:sz="0" w:space="0" w:color="auto"/>
                        <w:left w:val="none" w:sz="0" w:space="0" w:color="auto"/>
                        <w:bottom w:val="none" w:sz="0" w:space="0" w:color="auto"/>
                        <w:right w:val="none" w:sz="0" w:space="0" w:color="auto"/>
                      </w:divBdr>
                    </w:div>
                    <w:div w:id="200817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781984">
      <w:bodyDiv w:val="1"/>
      <w:marLeft w:val="0"/>
      <w:marRight w:val="0"/>
      <w:marTop w:val="0"/>
      <w:marBottom w:val="0"/>
      <w:divBdr>
        <w:top w:val="none" w:sz="0" w:space="0" w:color="auto"/>
        <w:left w:val="none" w:sz="0" w:space="0" w:color="auto"/>
        <w:bottom w:val="none" w:sz="0" w:space="0" w:color="auto"/>
        <w:right w:val="none" w:sz="0" w:space="0" w:color="auto"/>
      </w:divBdr>
      <w:divsChild>
        <w:div w:id="1052147639">
          <w:marLeft w:val="0"/>
          <w:marRight w:val="0"/>
          <w:marTop w:val="0"/>
          <w:marBottom w:val="0"/>
          <w:divBdr>
            <w:top w:val="none" w:sz="0" w:space="0" w:color="auto"/>
            <w:left w:val="none" w:sz="0" w:space="0" w:color="auto"/>
            <w:bottom w:val="none" w:sz="0" w:space="0" w:color="auto"/>
            <w:right w:val="none" w:sz="0" w:space="0" w:color="auto"/>
          </w:divBdr>
          <w:divsChild>
            <w:div w:id="319314575">
              <w:marLeft w:val="0"/>
              <w:marRight w:val="0"/>
              <w:marTop w:val="0"/>
              <w:marBottom w:val="0"/>
              <w:divBdr>
                <w:top w:val="none" w:sz="0" w:space="0" w:color="auto"/>
                <w:left w:val="none" w:sz="0" w:space="0" w:color="auto"/>
                <w:bottom w:val="none" w:sz="0" w:space="0" w:color="auto"/>
                <w:right w:val="none" w:sz="0" w:space="0" w:color="auto"/>
              </w:divBdr>
              <w:divsChild>
                <w:div w:id="1604991597">
                  <w:marLeft w:val="0"/>
                  <w:marRight w:val="0"/>
                  <w:marTop w:val="0"/>
                  <w:marBottom w:val="0"/>
                  <w:divBdr>
                    <w:top w:val="none" w:sz="0" w:space="0" w:color="auto"/>
                    <w:left w:val="none" w:sz="0" w:space="0" w:color="auto"/>
                    <w:bottom w:val="none" w:sz="0" w:space="0" w:color="auto"/>
                    <w:right w:val="none" w:sz="0" w:space="0" w:color="auto"/>
                  </w:divBdr>
                  <w:divsChild>
                    <w:div w:id="1844202104">
                      <w:marLeft w:val="0"/>
                      <w:marRight w:val="0"/>
                      <w:marTop w:val="0"/>
                      <w:marBottom w:val="0"/>
                      <w:divBdr>
                        <w:top w:val="none" w:sz="0" w:space="0" w:color="auto"/>
                        <w:left w:val="none" w:sz="0" w:space="0" w:color="auto"/>
                        <w:bottom w:val="none" w:sz="0" w:space="0" w:color="auto"/>
                        <w:right w:val="none" w:sz="0" w:space="0" w:color="auto"/>
                      </w:divBdr>
                    </w:div>
                    <w:div w:id="22946662">
                      <w:marLeft w:val="0"/>
                      <w:marRight w:val="0"/>
                      <w:marTop w:val="0"/>
                      <w:marBottom w:val="0"/>
                      <w:divBdr>
                        <w:top w:val="none" w:sz="0" w:space="0" w:color="auto"/>
                        <w:left w:val="none" w:sz="0" w:space="0" w:color="auto"/>
                        <w:bottom w:val="none" w:sz="0" w:space="0" w:color="auto"/>
                        <w:right w:val="none" w:sz="0" w:space="0" w:color="auto"/>
                      </w:divBdr>
                    </w:div>
                    <w:div w:id="623075391">
                      <w:marLeft w:val="0"/>
                      <w:marRight w:val="0"/>
                      <w:marTop w:val="0"/>
                      <w:marBottom w:val="0"/>
                      <w:divBdr>
                        <w:top w:val="none" w:sz="0" w:space="0" w:color="auto"/>
                        <w:left w:val="none" w:sz="0" w:space="0" w:color="auto"/>
                        <w:bottom w:val="none" w:sz="0" w:space="0" w:color="auto"/>
                        <w:right w:val="none" w:sz="0" w:space="0" w:color="auto"/>
                      </w:divBdr>
                    </w:div>
                    <w:div w:id="1704937851">
                      <w:marLeft w:val="0"/>
                      <w:marRight w:val="0"/>
                      <w:marTop w:val="0"/>
                      <w:marBottom w:val="0"/>
                      <w:divBdr>
                        <w:top w:val="none" w:sz="0" w:space="0" w:color="auto"/>
                        <w:left w:val="none" w:sz="0" w:space="0" w:color="auto"/>
                        <w:bottom w:val="none" w:sz="0" w:space="0" w:color="auto"/>
                        <w:right w:val="none" w:sz="0" w:space="0" w:color="auto"/>
                      </w:divBdr>
                    </w:div>
                    <w:div w:id="237713558">
                      <w:marLeft w:val="0"/>
                      <w:marRight w:val="0"/>
                      <w:marTop w:val="0"/>
                      <w:marBottom w:val="0"/>
                      <w:divBdr>
                        <w:top w:val="none" w:sz="0" w:space="0" w:color="auto"/>
                        <w:left w:val="none" w:sz="0" w:space="0" w:color="auto"/>
                        <w:bottom w:val="none" w:sz="0" w:space="0" w:color="auto"/>
                        <w:right w:val="none" w:sz="0" w:space="0" w:color="auto"/>
                      </w:divBdr>
                    </w:div>
                    <w:div w:id="1931889057">
                      <w:marLeft w:val="0"/>
                      <w:marRight w:val="0"/>
                      <w:marTop w:val="0"/>
                      <w:marBottom w:val="0"/>
                      <w:divBdr>
                        <w:top w:val="none" w:sz="0" w:space="0" w:color="auto"/>
                        <w:left w:val="none" w:sz="0" w:space="0" w:color="auto"/>
                        <w:bottom w:val="none" w:sz="0" w:space="0" w:color="auto"/>
                        <w:right w:val="none" w:sz="0" w:space="0" w:color="auto"/>
                      </w:divBdr>
                    </w:div>
                    <w:div w:id="133387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d11o58it1bhut6.cloudfront.net%2Fproduction%2F1611%2Foriginals%2Ftrademark-infringement-article-192fbfe5.docx&amp;wdOrigin=BROWSELINK" TargetMode="External"/><Relationship Id="rId3" Type="http://schemas.openxmlformats.org/officeDocument/2006/relationships/webSettings" Target="webSettings.xml"/><Relationship Id="rId7" Type="http://schemas.openxmlformats.org/officeDocument/2006/relationships/hyperlink" Target="https://view.officeapps.live.com/op/view.aspx?src=https%3A%2F%2Fd11o58it1bhut6.cloudfront.net%2Fproduction%2F1611%2Foriginals%2Fthird-party-oppositions-article-999018ef.docx&amp;wdOrigin=BROWSELIN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obpayne.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506</Words>
  <Characters>2690</Characters>
  <Application>Microsoft Office Word</Application>
  <DocSecurity>0</DocSecurity>
  <Lines>48</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W. Payne</dc:creator>
  <cp:lastModifiedBy>Ramildo Navarro</cp:lastModifiedBy>
  <cp:revision>10</cp:revision>
  <cp:lastPrinted>2025-02-25T19:53:00Z</cp:lastPrinted>
  <dcterms:created xsi:type="dcterms:W3CDTF">2026-01-12T19:53:00Z</dcterms:created>
  <dcterms:modified xsi:type="dcterms:W3CDTF">2026-04-14T20:25:00Z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c73cdda5-c3ca-4af3-a3ef-da43f914cd80</vt:lpwstr>
  </property>
</Properties>
</file>